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4A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少一些“热情互动”会更好</w:t>
      </w:r>
    </w:p>
    <w:p w14:paraId="45680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z w:val="30"/>
          <w:szCs w:val="30"/>
        </w:rPr>
        <w:t>姑姑退休后喜欢养金鱼，刚开始总 是养不好，后来通过不断摸索，症结才 找到，</w:t>
      </w:r>
      <w:r>
        <w:rPr>
          <w:rFonts w:ascii="宋体" w:hAnsi="宋体" w:eastAsia="宋体" w:cs="宋体"/>
          <w:b/>
          <w:bCs/>
          <w:sz w:val="30"/>
          <w:szCs w:val="30"/>
        </w:rPr>
        <w:t xml:space="preserve">原来是家里的小外孙有事无事就 去逗它们玩。金鱼是“静养”动物，频繁 打扰会影响它们正常生长，敲击鱼缸可 致内耳损伤，频繁捞鱼可致鱼体表黏膜 脱落，突然开关灯可导致撞缸、眼球受 伤，过度投喂互动会导致肠炎。小外孙 敲缸喂食的“热情互动”致使金鱼不能 健康成长的教训，让她悟出了“静养”的 智慧：既要有规律地投喂、换水，更要约 束过度干预。这恰如市场经济发展中 有效市场与有为政府的辩证关系。形 成既“放得活”又“管得住”的经济秩序， 政府要有所为、有所不为，解决好缺位、 越位问题。金鱼“静养”之道正是对这 种动态平衡的精准诠释。 </w:t>
      </w:r>
    </w:p>
    <w:p w14:paraId="01732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优化市场环境，政府要做“补位者”而非“旁观者”。某些地区在落实乡村 振兴政策中，资金被挪用至非优先领 域，导致实际惠农效果大打折扣；有些 城市地下管网建设涉及城建、水利、环 保等多部门，权责不清常导致重复施工 或监管盲区。这些缺位之痛警示我们： 法治经济需用制度填补监管真空，信用 体系要靠机制消除协作壁垒。正如近 期国务院国资委发布了《关于做好2025 年中央企业内部控制体系建设与监督 工作有关事项的通知》，首次正式提出 将“穿透式监管”方法贯穿于中央企业 内控体系建设中，标志着国央企内控体 系管理将迎来重大的转型升级。 </w:t>
      </w:r>
    </w:p>
    <w:p w14:paraId="4664A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优化市场环境，政府更需警惕“越 位者”角色。2023年12月，浙江省市场 监督管理局通报了两起地方政府滥用 行政权力的案例：建德市强制企业本地 注册的“筑墙令”，嘉兴南湖区政府则要 求政府投资项目优先选择区属中小建筑 业企业，限制了外地企业的参与，这些地 方保护主义和自我小循环如同鱼缸里的 搅动棍，破坏着市场生态的清澈度。江 西某企业年度迎接相关部门检查60余 次的案例更具典型性：一些部门各自为 政的检查，让企业疲于应付。“好想当一 条静养的金鱼”，成为众多企业家发自内 心的愿望。这倒逼出“综合查一次”行政 执法改革——杭州推出的跨部门联合检 查机制，将检查频次大幅降低，真正实现 “进一次门、查多项事、一次到位”。 </w:t>
      </w:r>
    </w:p>
    <w:p w14:paraId="4CE41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从金鱼的“静养”哲学中，我们读 懂现代治理的精髓：有为政府如同精 准的生态调节器，既要避免“过度投 喂”诱发市场依赖，又要约束“热情互 动”带来无谓的内耗，还要防止“突然惊扰”破坏发展节奏。苏州工业园区 推行行政检查“白名单”制度，开展差 异化分类监管颇具启示——对信用良 好的企业实行“非请勿扰”，但对安全 生产等关键领域保持“鹰眼监控”。这 种张弛有度的监管，让区域内高新技 术企业三年增长至原数量的240%，市 场活力竞相迸发。</w:t>
      </w:r>
    </w:p>
    <w:p w14:paraId="7B178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 当晨曦再次洒在姑姑的鱼缸上，那 些悠然摆尾的彩色金鱼，正见证着动静 相宜的治理智慧。政府这只“有形的 手”，既不能放任市场成“野塘”，也不可 将其困为“盆景池”。唯有在放管平衡 中培育生态，在进退有度间涵养活水， 才能让市场主体如同“静养”的金鱼，在 适宜的生态中焕发蓬勃生机。这种治 理境界，正是新发展理念下统筹好有效 市场和有为政府关系的最佳注脚。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27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2026-01-08T07:12:53Z</dcterms:created>
  <dc:creator>dwt</dc:creator>
  <cp:lastModifiedBy>婷</cp:lastModifiedBy>
  <dcterms:modified xsi:type="dcterms:W3CDTF">2026-01-08T07:18:02Z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4ADF910358874CBA8206C8EB53A0C9DE_12</vt:lpwstr>
  </property>
</Properties>
</file>