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58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6F734435">
      <w:pPr>
        <w:rPr>
          <w:rFonts w:ascii="黑体" w:eastAsia="黑体"/>
          <w:sz w:val="10"/>
        </w:rPr>
      </w:pPr>
    </w:p>
    <w:tbl>
      <w:tblPr>
        <w:tblStyle w:val="4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4CD860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71CC1D3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74CC3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少一些“热情互动”会更好</w:t>
            </w:r>
          </w:p>
        </w:tc>
        <w:tc>
          <w:tcPr>
            <w:tcW w:w="850" w:type="dxa"/>
            <w:noWrap w:val="0"/>
            <w:vAlign w:val="center"/>
          </w:tcPr>
          <w:p w14:paraId="758CB51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2A871E0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381B2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评论</w:t>
            </w:r>
          </w:p>
        </w:tc>
      </w:tr>
      <w:tr w14:paraId="3D797A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0B57D8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4B77B24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97B572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4D536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评论</w:t>
            </w:r>
          </w:p>
        </w:tc>
      </w:tr>
      <w:tr w14:paraId="49D4C3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1E3C751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6232A9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4F5DC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周明</w:t>
            </w:r>
          </w:p>
        </w:tc>
        <w:tc>
          <w:tcPr>
            <w:tcW w:w="1418" w:type="dxa"/>
            <w:noWrap w:val="0"/>
            <w:vAlign w:val="center"/>
          </w:tcPr>
          <w:p w14:paraId="2B7A28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A594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涂明 王良太 高国专</w:t>
            </w:r>
          </w:p>
        </w:tc>
      </w:tr>
      <w:tr w14:paraId="46959E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172421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1F98B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黄石日报社</w:t>
            </w:r>
          </w:p>
        </w:tc>
        <w:tc>
          <w:tcPr>
            <w:tcW w:w="1418" w:type="dxa"/>
            <w:noWrap w:val="0"/>
            <w:vAlign w:val="center"/>
          </w:tcPr>
          <w:p w14:paraId="1A3D8D6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73352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</w:t>
            </w:r>
          </w:p>
        </w:tc>
      </w:tr>
      <w:tr w14:paraId="4CED9E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60BAC5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12EE8D3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145C9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6版</w:t>
            </w:r>
          </w:p>
        </w:tc>
        <w:tc>
          <w:tcPr>
            <w:tcW w:w="1418" w:type="dxa"/>
            <w:noWrap w:val="0"/>
            <w:vAlign w:val="center"/>
          </w:tcPr>
          <w:p w14:paraId="76363EB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12B9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2025-04-02</w:t>
            </w:r>
          </w:p>
        </w:tc>
      </w:tr>
      <w:tr w14:paraId="107314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ABA1AC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2639E6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0C412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default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5C95BF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5FA05BB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4905A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1215</w:t>
            </w:r>
          </w:p>
        </w:tc>
      </w:tr>
      <w:tr w14:paraId="7DC88B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9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545875D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602F013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76E4F02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firstLine="562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该作品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以“姑姑”养金鱼的故事为切入口——“热情互动”致使金鱼不能健康成长，让她悟出“静养”的智慧：既要有规律地投喂、换水，更要约束过度干预。这一日常生活的“小智慧”，精准诠释了市场经济发展中有效市场与有为政府的辩证关系。文章列举8个典型事例，从正反两方面阐述了政府要有所为、有所不为，解决好缺位、越位问题。</w:t>
            </w:r>
          </w:p>
          <w:p w14:paraId="11A9151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firstLine="562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该作品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主题重大，但没有高谈阔论，而是从百姓生活中的“小智慧”入手，深刻阐述经济工作中的“大智慧”。评论观点锐利、“辣味”十足、切中时弊。论述过程中以事实说话，论据充分、论证有力，在破立结合中倡导了务实、高效、以解决问题为导向的好作风，展现新闻评论的思想锋芒。</w:t>
            </w:r>
          </w:p>
        </w:tc>
      </w:tr>
      <w:tr w14:paraId="031979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830" w:type="dxa"/>
            <w:noWrap w:val="0"/>
            <w:vAlign w:val="center"/>
          </w:tcPr>
          <w:p w14:paraId="472160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62346F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5F815DA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04C8B29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1032AD9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firstLine="562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该作品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敢于对形式主义、官僚主义的新表现——“过度留痕、表演式互动”亮剑，彰显了媒体的批判勇气和责任担当。</w:t>
            </w:r>
            <w:r>
              <w:rPr>
                <w:rFonts w:hint="eastAsia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该作品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如同一次清醒的“提示音”，在舆论场中发挥了激浊扬清、凝聚改革共识的独特作用，展现了新闻评论的思想锋芒和社会价值，实现了舆论监督与正面宣传的有机统一。</w:t>
            </w:r>
          </w:p>
          <w:p w14:paraId="47207CF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该作品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在“黄石+”客户端发布，阅读量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万+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引起黄石相关部门关注，推动实施了一系列举措，如开展“干部换位跑”等活动，出台《黄石市持续提升营商环境服务推动支点建设行动方案》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等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2FA163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30" w:type="dxa"/>
            <w:noWrap w:val="0"/>
            <w:vAlign w:val="center"/>
          </w:tcPr>
          <w:p w14:paraId="7DCC5A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3543D2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22A3D2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4133B84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34C25B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1C2B253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黄石＋客户端：</w:t>
            </w:r>
          </w:p>
          <w:p w14:paraId="3A6D2A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https://appsta.hbhsrb.com/files/app/hsrbapp/html/News/202504/02/99123971.html?v=1767853801</w:t>
            </w:r>
          </w:p>
        </w:tc>
      </w:tr>
      <w:tr w14:paraId="7663AC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0160AD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1981CC4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3CE225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33BCB62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1FB6357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6FA3BCE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3B7C1B5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460F69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（盖单位公章）</w:t>
            </w:r>
          </w:p>
          <w:p w14:paraId="484FED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036E056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3135EC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F004ED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5405866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5EBBCF6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5A38E36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日</w:t>
            </w:r>
          </w:p>
        </w:tc>
      </w:tr>
      <w:tr w14:paraId="687FF0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C666F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094E38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周明</w:t>
            </w:r>
          </w:p>
        </w:tc>
        <w:tc>
          <w:tcPr>
            <w:tcW w:w="1418" w:type="dxa"/>
            <w:noWrap w:val="0"/>
            <w:vAlign w:val="center"/>
          </w:tcPr>
          <w:p w14:paraId="4ECFB26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78AA9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/>
              </w:rPr>
            </w:pPr>
            <w:r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13872086119</w:t>
            </w:r>
          </w:p>
        </w:tc>
      </w:tr>
    </w:tbl>
    <w:p w14:paraId="3143B16B"/>
    <w:p w14:paraId="465CE50F"/>
    <w:p w14:paraId="3F79DAFE"/>
    <w:p w14:paraId="0BF71C05"/>
    <w:p w14:paraId="29D42D00"/>
    <w:p w14:paraId="3B46ECFA"/>
    <w:p w14:paraId="1896A11B"/>
    <w:p w14:paraId="7CBE9D11"/>
    <w:p w14:paraId="2734688D"/>
    <w:p w14:paraId="75B6152A"/>
    <w:p w14:paraId="58B2D137"/>
    <w:p w14:paraId="261F71C6"/>
    <w:p w14:paraId="7DD2027E"/>
    <w:p w14:paraId="65AB48F8"/>
    <w:p w14:paraId="34136C4D"/>
    <w:p w14:paraId="5CA9B397"/>
    <w:p w14:paraId="708DEB14"/>
    <w:p w14:paraId="5277C487"/>
    <w:p w14:paraId="06FD04D4"/>
    <w:p w14:paraId="68E01730"/>
    <w:p w14:paraId="0B0721F0"/>
    <w:p w14:paraId="75EF57A3"/>
    <w:p w14:paraId="300FA91B"/>
    <w:p w14:paraId="7FF49978"/>
    <w:p w14:paraId="04E394A8"/>
    <w:p w14:paraId="616DA351"/>
    <w:p w14:paraId="1FA461CC"/>
    <w:p w14:paraId="63EBB0F3"/>
    <w:p w14:paraId="06C8BA28"/>
    <w:p w14:paraId="1179450B"/>
    <w:p w14:paraId="0BE34AD1"/>
    <w:p w14:paraId="3D40C696"/>
    <w:p w14:paraId="5F8504A0"/>
    <w:p w14:paraId="08EE1007"/>
    <w:p w14:paraId="4334A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少一些“热情互动”会更好</w:t>
      </w:r>
    </w:p>
    <w:p w14:paraId="45680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姑姑退休后喜欢养金鱼，刚开始总 是养不好，后来通过不断摸索，症结才 找到，原来是家里的小外孙有事无事就 去逗它们玩。金鱼是“静养”动物，频繁 打扰会影响它们正常生长，敲击鱼缸可 致内耳损伤，频繁捞鱼可致鱼体表黏膜 脱落，突然开关灯可导致撞缸、眼球受 伤，过度投喂互动会导致肠炎。小外孙 敲缸喂食的“热情互动”致使金鱼不能 健康成长的教训，让她悟出了“静养”的 智慧：既要有规律地投喂、换水，更要约 束过度干预。这恰如市场经济发展中 有效市场与有为政府的辩证关系。形 成既“放得活”又“管得住”的经济秩序， 政府要有所为、有所不为，解决好缺位、 越位问题。金鱼“静养”之道正是对这 种动态平衡的精准诠释。 </w:t>
      </w:r>
    </w:p>
    <w:p w14:paraId="01732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优化市场环境，政府要做“补位者”而非“旁观者”。某些地区在落实乡村 振兴政策中，资金被挪用至非优先领 域，导致实际惠农效果大打折扣；有些 城市地下管网建设涉及城建、水利、环 保等多部门，权责不清常导致重复施工 或监管盲区。这些缺位之痛警示我们： 法治经济需用制度填补监管真空，信用 体系要靠机制消除协作壁垒。正如近 期国务院国资委发布了《关于做好2025 年中央企业内部控制体系建设与监督 工作有关事项的通知》，首次正式提出 将“穿透式监管”方法贯穿于中央企业 内控体系建设中，标志着国央企内控体 系管理将迎来重大的转型升级。 </w:t>
      </w:r>
    </w:p>
    <w:p w14:paraId="4664A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优化市场环境，政府更需警惕“越 位者”角色。2023年12月，浙江省市场 监督管理局通报了两起地方政府滥用 行政权力的案例：建德市强制企业本地 注册的“筑墙令”，嘉兴南湖区政府则要 求政府投资项目优先选择区属中小建筑 业企业，限制了外地企业的参与，这些地 方保护主义和自我小循环如同鱼缸里的 搅动棍，破坏着市场生态的清澈度。江 西某企业年度迎接相关部门检查60余 次的案例更具典型性：一些部门各自为 政的检查，让企业疲于应付。“好想当一 条静养的金鱼”，成为众多企业家发自内 心的愿望。这倒逼出“综合查一次”行政 执法改革——杭州推出的跨部门联合检 查机制，将检查频次大幅降低，真正实现 “进一次门、查多项事、一次到位”。 </w:t>
      </w:r>
    </w:p>
    <w:p w14:paraId="4CE41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从金鱼的“静养”哲学中，我们读 懂现代治理的精髓：有为政府如同精 准的生态调节器，既要避免“过度投 喂”诱发市场依赖，又要约束“热情互 动”带来无谓的内耗，还要防止“突然惊扰”破坏发展节奏。苏州工业园区 推行行政检查“白名单”制度，开展差 异化分类监管颇具启示——对信用良 好的企业实行“非请勿扰”，但对安全 生产等关键领域保持“鹰眼监控”。这 种张弛有度的监管，让区域内高新技 术企业三年增长至原数量的240%，市 场活力竞相迸发。</w:t>
      </w:r>
    </w:p>
    <w:p w14:paraId="7B178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 当晨曦再次洒在姑姑的鱼缸上，那 些悠然摆尾的彩色金鱼，正见证着动静 相宜的治理智慧。政府这只“有形的 手”，既不能放任市场成“野塘”，也不可 将其困为“盆景池”。唯有在放管平衡 中培育生态，在进退有度间涵养活水， 才能让市场主体如同“静养”的金鱼，在 适宜的生态中焕发蓬勃生机。这种治 理境界，正是新发展理念下统筹好有效 市场和有为政府关系的最佳注脚。</w:t>
      </w:r>
    </w:p>
    <w:p w14:paraId="256C7D12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19943C-07AA-4609-A238-1B08B3E340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1C547425-5B01-4806-9B31-046F555D996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B0180C1-7D3F-45F8-8B52-8031EB210746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Y2MzJiOTA4ODIzNDkwNmJhZTkyY2JjZjI3Y2YifQ=="/>
  </w:docVars>
  <w:rsids>
    <w:rsidRoot w:val="00000000"/>
    <w:rsid w:val="02840131"/>
    <w:rsid w:val="03BA6292"/>
    <w:rsid w:val="04B933BB"/>
    <w:rsid w:val="06FD7D39"/>
    <w:rsid w:val="0A3C0A2E"/>
    <w:rsid w:val="0C927344"/>
    <w:rsid w:val="0E2D7987"/>
    <w:rsid w:val="0E6265CA"/>
    <w:rsid w:val="0F157777"/>
    <w:rsid w:val="108F0808"/>
    <w:rsid w:val="12B85C31"/>
    <w:rsid w:val="15F01BF7"/>
    <w:rsid w:val="1B1F50F6"/>
    <w:rsid w:val="1B8928C3"/>
    <w:rsid w:val="1FDE0B20"/>
    <w:rsid w:val="209A0A14"/>
    <w:rsid w:val="20C462AC"/>
    <w:rsid w:val="23FB5046"/>
    <w:rsid w:val="240A1BB0"/>
    <w:rsid w:val="242D5A78"/>
    <w:rsid w:val="26261DB3"/>
    <w:rsid w:val="28FB134B"/>
    <w:rsid w:val="2C3F6F34"/>
    <w:rsid w:val="2C9A4365"/>
    <w:rsid w:val="2E37139C"/>
    <w:rsid w:val="30586CDF"/>
    <w:rsid w:val="310821CC"/>
    <w:rsid w:val="37C24FAB"/>
    <w:rsid w:val="384A034B"/>
    <w:rsid w:val="3B1F2884"/>
    <w:rsid w:val="3B511D6E"/>
    <w:rsid w:val="3C95644B"/>
    <w:rsid w:val="3D8D3E40"/>
    <w:rsid w:val="41917B77"/>
    <w:rsid w:val="43DD3A6A"/>
    <w:rsid w:val="4439004A"/>
    <w:rsid w:val="44591722"/>
    <w:rsid w:val="482D38E3"/>
    <w:rsid w:val="48747A01"/>
    <w:rsid w:val="4D147E8C"/>
    <w:rsid w:val="4E757DDB"/>
    <w:rsid w:val="4F075432"/>
    <w:rsid w:val="4FF02456"/>
    <w:rsid w:val="53A87F19"/>
    <w:rsid w:val="54A512B5"/>
    <w:rsid w:val="5A672151"/>
    <w:rsid w:val="5B791466"/>
    <w:rsid w:val="5DFD3E43"/>
    <w:rsid w:val="64FF0383"/>
    <w:rsid w:val="686B41BE"/>
    <w:rsid w:val="68C91F9A"/>
    <w:rsid w:val="6C523D39"/>
    <w:rsid w:val="71B7463E"/>
    <w:rsid w:val="77117563"/>
    <w:rsid w:val="7DE762AB"/>
    <w:rsid w:val="7F0C2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1891</Words>
  <Characters>2108</Characters>
  <Lines>0</Lines>
  <Paragraphs>0</Paragraphs>
  <TotalTime>15</TotalTime>
  <ScaleCrop>false</ScaleCrop>
  <LinksUpToDate>false</LinksUpToDate>
  <CharactersWithSpaces>2218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婷</cp:lastModifiedBy>
  <cp:lastPrinted>2026-03-19T08:47:35Z</cp:lastPrinted>
  <dcterms:modified xsi:type="dcterms:W3CDTF">2026-03-19T08:47:38Z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4994E60889A249BFA0BDB9CD95A6F8D0_13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